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2</w:t>
      </w:r>
    </w:p>
    <w:p w:rsidR="0061321F" w:rsidRPr="00021020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021020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021020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021020" w:rsidRDefault="004A3FCB" w:rsidP="00021020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02102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  <w:r w:rsidR="00BD4162" w:rsidRPr="0002102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ОБЩЕСТВЕНА ПОРЪЧКА С ПРЕДМЕТ:</w:t>
      </w:r>
    </w:p>
    <w:p w:rsidR="00BD4162" w:rsidRPr="00021020" w:rsidRDefault="002C3EFC" w:rsidP="00021020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021020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Pr="00021020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Pr="00021020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Pr="00021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Pr="00021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Pr="00021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BD4162" w:rsidRPr="00021020" w:rsidRDefault="00BD4162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ind w:firstLine="720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</w:pPr>
      <w:r w:rsidRPr="0002102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Критерият и показателите за оценка се прилагат само по отношение на офертите на участниците, които отговарят на всички изисквания на Възложителя.</w:t>
      </w:r>
    </w:p>
    <w:p w:rsidR="0061321F" w:rsidRPr="00021020" w:rsidRDefault="0061321F" w:rsidP="00021020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Критерий за оценка на офертата: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„оптимално съотношение качество/цена” 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при количествени и качествени показатели, относителна тежест и методика за определяне на комплексната оценка на офертата, както следва: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Крайната /комплексна/ оценка (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="00703862"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се изчислява по следната формула: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 = 0.5ТО + 0.5ЦО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където: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 ТО – Техническа оценка, с относителна тежест в комплексната оценка – 0.50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 ЦО – Финансова оценка, с относителна тежест в комплексната оценка – 0.50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5D5E86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най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bookmarkStart w:id="0" w:name="_GoBack"/>
      <w:bookmarkEnd w:id="0"/>
      <w:r w:rsidR="0061321F"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изгодна оферта за Възложителя се определя офертата, получила най-висока комплексна оценка.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Показател 1 – Техническа оферта ТО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Общата техническа оценка ТО се определя ка</w:t>
      </w:r>
      <w:r w:rsidR="00BB18BE"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сума от оценките на посочените по-долу показатели, които имат следната относителна тежест: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</w:rPr>
        <w:t>=TO1x0.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+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</w:rPr>
        <w:t>TO2x0.20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+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</w:rPr>
        <w:t>TO3x0.10+TO4x0.10+TO5x0.10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Техническата оценка ТО се формира по следните технически показатели: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ТО1 – Срок за активиране на услугите</w:t>
      </w:r>
      <w:r w:rsidR="00101F46"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описани в техническата спецификация след изграждане на мрежата: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F35809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О1 = 100х</w:t>
      </w:r>
      <w:proofErr w:type="spellStart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</w:t>
      </w:r>
      <w:proofErr w:type="spellEnd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Srn</w:t>
      </w:r>
      <w:proofErr w:type="spellEnd"/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proofErr w:type="spellStart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Srn</w:t>
      </w:r>
      <w:proofErr w:type="spellEnd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– срок за активиране, предложен от конкретния участник;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proofErr w:type="spellStart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Sr</w:t>
      </w:r>
      <w:proofErr w:type="spellEnd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vertAlign w:val="subscript"/>
        </w:rPr>
        <w:t>min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- най-малкият срок</w:t>
      </w:r>
      <w:r w:rsidR="00B45D40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,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предложен между всички оферти </w:t>
      </w:r>
      <w:r w:rsidR="00B45D40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(минимално оценим срок - 1 ден)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ТО2 – Закъснение при предаване на  данни – Стандартно отклонение на закъснението в </w:t>
      </w:r>
      <w:proofErr w:type="spellStart"/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ms</w:t>
      </w:r>
      <w:proofErr w:type="spellEnd"/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- Закъснение при предаване на данни </w:t>
      </w:r>
      <w:r w:rsidR="00355951"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(</w:t>
      </w: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еднопосочно</w:t>
      </w:r>
      <w:r w:rsidR="00355951"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)</w:t>
      </w: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за фиксирани мрежи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   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F35809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О2 = 100х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2</w:t>
      </w:r>
      <w:proofErr w:type="spellStart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Zmin</w:t>
      </w:r>
      <w:proofErr w:type="spellEnd"/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/Т2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най-малкото стандартно отклонение на закъснението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F35809"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ТО3 – Закъснение при предаване на  данни – Средна стойност на закъснението при предаване на данни в </w:t>
      </w:r>
      <w:proofErr w:type="spellStart"/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ms</w:t>
      </w:r>
      <w:proofErr w:type="spellEnd"/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- Закъснение при предаване на данни </w:t>
      </w:r>
      <w:r w:rsidR="00482CF4"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(</w:t>
      </w: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еднопосочно</w:t>
      </w:r>
      <w:r w:rsidR="00482CF4"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>)</w:t>
      </w: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за фиксирани мрежи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    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CD683A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О3 = 100х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3</w:t>
      </w:r>
      <w:proofErr w:type="spellStart"/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Zmin</w:t>
      </w:r>
      <w:proofErr w:type="spellEnd"/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/Т3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най-малкото средно стандартно отклонение на закъснението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CD683A"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 – Максимална постигната скорост на предаване на данни за достъп до интернет за фиксирани мрежи – в </w:t>
      </w:r>
      <w:proofErr w:type="spellStart"/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mbit</w:t>
      </w:r>
      <w:proofErr w:type="spellEnd"/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   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043651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О4 = 100х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4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/Т4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max</w:t>
      </w:r>
      <w:proofErr w:type="spellEnd"/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Zmax</w:t>
      </w:r>
      <w:proofErr w:type="spellEnd"/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най-голямата постигната скорост на предаване на данни за достъп до интернет за фиксирани мрежи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*Предложената стойност следва да е придружена с описание, което съдържа описание на </w:t>
      </w:r>
      <w:r w:rsidR="00043651"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 подкрепа на достоверността на предложението.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5– Минимална постигната скорост на предаване на данни за достъп до интернет за фиксирани мрежи – в </w:t>
      </w:r>
      <w:proofErr w:type="spellStart"/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kbit</w:t>
      </w:r>
      <w:proofErr w:type="spellEnd"/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   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="00043651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О5 = 100х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5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Z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/Т5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min</w:t>
      </w:r>
      <w:proofErr w:type="spellEnd"/>
      <w:r w:rsidR="00021020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max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)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proofErr w:type="spellStart"/>
      <w:r w:rsidRPr="00021020">
        <w:rPr>
          <w:rFonts w:ascii="Times New Roman" w:eastAsia="Times New Roman" w:hAnsi="Times New Roman" w:cs="Times New Roman"/>
          <w:sz w:val="24"/>
          <w:szCs w:val="24"/>
        </w:rPr>
        <w:t>Zmin</w:t>
      </w:r>
      <w:proofErr w:type="spellEnd"/>
      <w:r w:rsidR="00021020" w:rsidRPr="0002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max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) – стойност на най-голямата минимална постигната скорост на предаване на данни за достъп до интернет за фиксирани мрежи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21020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стойност на показателя за конкретния участник 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lastRenderedPageBreak/>
        <w:t xml:space="preserve">*Предложената стойност следва да е придружена с описание, което съдържа описание на </w:t>
      </w:r>
      <w:r w:rsidR="00DA272F"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доказателства</w:t>
      </w:r>
      <w:r w:rsidRPr="000210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в подкрепа на достоверността на предложението.</w:t>
      </w:r>
    </w:p>
    <w:p w:rsidR="00021020" w:rsidRPr="00021020" w:rsidRDefault="00021020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21F" w:rsidRPr="00021020" w:rsidRDefault="0061321F" w:rsidP="000210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10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ЗАБЕЛЕЖКА</w:t>
      </w:r>
      <w:r w:rsidRPr="0002102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: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Декларираните стойности по отношение на показатели  ТО2, ТО3, ТО4 и ТО5 следва да са вписани като параметър за измерване на качеството на услугите съгласно Приложение № 5 към чл. 38 на Общи изисквания при осъществяване на обществени електронни съобщения. За доказване на тези обстоятелства се прилагат декларации по отношение на показатели  ТО2, ТО3, ТО4 и ТО5 от представляващите участника по актуално състояние,   заверено копие от интернет страницата на участника и линк към нея, където са публикувани параметрите за качество на услугите предоставяни от кандидата за 2015 календарна година.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321F" w:rsidRPr="00021020" w:rsidRDefault="004A3FCB" w:rsidP="00021020">
      <w:pPr>
        <w:tabs>
          <w:tab w:val="left" w:pos="593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  </w:t>
      </w:r>
      <w:r w:rsidR="0061321F"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1321F"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Показател 2 – Финансова оценка</w:t>
      </w: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              Финансовата оценка се определя на базата на общата месечна такса на услугите</w:t>
      </w:r>
      <w:r w:rsidR="00A070FE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  <w:r w:rsidR="00EB57D3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(</w:t>
      </w:r>
      <w:r w:rsidR="008824F8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цената на услугата </w:t>
      </w:r>
      <w:r w:rsidR="00A070FE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трябва да бъде разпред</w:t>
      </w:r>
      <w:r w:rsidR="00EB57D3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елена на 12 равни месечни такси)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. Ако участникът предвижда еднократни разходи, то те трябва да бъдат разпределени към месечните такси – към всяка месечна такса се добавя 1/12 от еднократните разходи.</w:t>
      </w:r>
      <w:r w:rsidR="00A070FE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</w:t>
      </w:r>
    </w:p>
    <w:p w:rsidR="0060108E" w:rsidRPr="00021020" w:rsidRDefault="0060108E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</w:p>
    <w:p w:rsidR="0061321F" w:rsidRPr="00021020" w:rsidRDefault="0061321F" w:rsidP="00021020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Показателят ЦО за оценка на ценовата о</w:t>
      </w:r>
      <w:r w:rsidR="00AF42C9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ферта се изчислява</w:t>
      </w:r>
      <w:r w:rsidR="00517F7C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,</w:t>
      </w:r>
      <w:r w:rsidR="00AF42C9"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 xml:space="preserve"> както следва </w:t>
      </w:r>
      <w:r w:rsidRPr="0002102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bg-BG"/>
        </w:rPr>
        <w:t>по формулата:</w:t>
      </w:r>
    </w:p>
    <w:p w:rsidR="0061321F" w:rsidRPr="00021020" w:rsidRDefault="0061321F" w:rsidP="00021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Ц</w:t>
      </w:r>
      <w:r w:rsidR="008D586B"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О</w:t>
      </w:r>
      <w:r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 = 100</w:t>
      </w:r>
      <w:r w:rsidR="008D586B"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х</w:t>
      </w:r>
      <w:r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Ц</w:t>
      </w:r>
      <w:r w:rsidR="00021020"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мин</w:t>
      </w: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/</w:t>
      </w:r>
      <w:r w:rsidRPr="000210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Ц</w:t>
      </w: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, където</w:t>
      </w:r>
    </w:p>
    <w:p w:rsidR="0061321F" w:rsidRPr="00021020" w:rsidRDefault="0061321F" w:rsidP="00021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Ц</w:t>
      </w: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</w:rPr>
        <w:t>n</w:t>
      </w: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 xml:space="preserve"> - цената, предложена от конкретния участник;</w:t>
      </w:r>
    </w:p>
    <w:p w:rsidR="0061321F" w:rsidRPr="00021020" w:rsidRDefault="0061321F" w:rsidP="00021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pacing w:val="-8"/>
          <w:sz w:val="24"/>
          <w:szCs w:val="24"/>
          <w:lang w:val="bg-BG"/>
        </w:rPr>
        <w:t>Цмин - най-ниската предложена цена между всички оферти;</w:t>
      </w:r>
    </w:p>
    <w:p w:rsidR="00021020" w:rsidRPr="00021020" w:rsidRDefault="00021020" w:rsidP="000210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Комплексна оценка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Офертата получила най-висока комплексна оценка се класира на първо място. В случай, че комплексните оценки на две или повече оферти са равни за икономически най-изгодна се приема тази оферта, в която се пр</w:t>
      </w:r>
      <w:r w:rsidR="00AF42C9"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едлага най-ниска цена. В случай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че офертите са с еднакви цени, то комисията провежда публично жребий за определяне на изпълнител между класираните на първо място оферти.</w:t>
      </w:r>
    </w:p>
    <w:p w:rsidR="0061321F" w:rsidRPr="00021020" w:rsidRDefault="0061321F" w:rsidP="0002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изчисляването на всички стойности по горепосочените формули, резултатите се закръгляват до четвъртия знак след десетичната запетая.</w:t>
      </w:r>
    </w:p>
    <w:p w:rsidR="0061321F" w:rsidRPr="00021020" w:rsidRDefault="0061321F" w:rsidP="0002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021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61321F" w:rsidRPr="00021020" w:rsidRDefault="004A3FCB" w:rsidP="00021020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1321F"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класират по сумарно полученият брой точки, от всички показатели.</w:t>
      </w:r>
    </w:p>
    <w:p w:rsidR="0061321F" w:rsidRPr="00021020" w:rsidRDefault="0061321F" w:rsidP="00021020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Офертата, получила най-висока оценка </w:t>
      </w: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</w:t>
      </w:r>
      <w:r w:rsidR="008E5E3C"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r w:rsidRPr="00021020">
        <w:rPr>
          <w:rFonts w:ascii="Times New Roman" w:eastAsia="Times New Roman" w:hAnsi="Times New Roman" w:cs="Times New Roman"/>
          <w:sz w:val="24"/>
          <w:szCs w:val="24"/>
          <w:lang w:val="bg-BG"/>
        </w:rPr>
        <w:t>, се класира на първо място.</w:t>
      </w:r>
    </w:p>
    <w:sectPr w:rsidR="0061321F" w:rsidRPr="00021020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4C" w:rsidRDefault="0016584C" w:rsidP="007C0441">
      <w:pPr>
        <w:spacing w:after="0" w:line="240" w:lineRule="auto"/>
      </w:pPr>
      <w:r>
        <w:separator/>
      </w:r>
    </w:p>
  </w:endnote>
  <w:endnote w:type="continuationSeparator" w:id="0">
    <w:p w:rsidR="0016584C" w:rsidRDefault="0016584C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4C" w:rsidRDefault="0016584C" w:rsidP="007C0441">
      <w:pPr>
        <w:spacing w:after="0" w:line="240" w:lineRule="auto"/>
      </w:pPr>
      <w:r>
        <w:separator/>
      </w:r>
    </w:p>
  </w:footnote>
  <w:footnote w:type="continuationSeparator" w:id="0">
    <w:p w:rsidR="0016584C" w:rsidRDefault="0016584C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16584C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2522859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35F08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43651"/>
    <w:rsid w:val="0009153B"/>
    <w:rsid w:val="000A526E"/>
    <w:rsid w:val="000B6CB6"/>
    <w:rsid w:val="00101F46"/>
    <w:rsid w:val="001111EC"/>
    <w:rsid w:val="0011764B"/>
    <w:rsid w:val="00121FF0"/>
    <w:rsid w:val="0016584C"/>
    <w:rsid w:val="00192F7F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30597D"/>
    <w:rsid w:val="00355951"/>
    <w:rsid w:val="00370657"/>
    <w:rsid w:val="00482CF4"/>
    <w:rsid w:val="004869D9"/>
    <w:rsid w:val="004A3FCB"/>
    <w:rsid w:val="004E72C0"/>
    <w:rsid w:val="00517082"/>
    <w:rsid w:val="00517F7C"/>
    <w:rsid w:val="00523676"/>
    <w:rsid w:val="005252A9"/>
    <w:rsid w:val="00540501"/>
    <w:rsid w:val="005602EB"/>
    <w:rsid w:val="005B1430"/>
    <w:rsid w:val="005D5E86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364D"/>
    <w:rsid w:val="008F732B"/>
    <w:rsid w:val="009215B6"/>
    <w:rsid w:val="009420FF"/>
    <w:rsid w:val="00950F8D"/>
    <w:rsid w:val="00953DA5"/>
    <w:rsid w:val="0095657A"/>
    <w:rsid w:val="00970F2E"/>
    <w:rsid w:val="009B5F53"/>
    <w:rsid w:val="00A070FE"/>
    <w:rsid w:val="00A315D7"/>
    <w:rsid w:val="00A41595"/>
    <w:rsid w:val="00A7172B"/>
    <w:rsid w:val="00A930DC"/>
    <w:rsid w:val="00AB727C"/>
    <w:rsid w:val="00AF42C9"/>
    <w:rsid w:val="00B12C45"/>
    <w:rsid w:val="00B3040B"/>
    <w:rsid w:val="00B45A8C"/>
    <w:rsid w:val="00B45D40"/>
    <w:rsid w:val="00B72056"/>
    <w:rsid w:val="00BB18BE"/>
    <w:rsid w:val="00BC0830"/>
    <w:rsid w:val="00BC578C"/>
    <w:rsid w:val="00BD4162"/>
    <w:rsid w:val="00C0110C"/>
    <w:rsid w:val="00C04A6B"/>
    <w:rsid w:val="00C15A6F"/>
    <w:rsid w:val="00C6425D"/>
    <w:rsid w:val="00C73D15"/>
    <w:rsid w:val="00C853CF"/>
    <w:rsid w:val="00C97675"/>
    <w:rsid w:val="00CA46E2"/>
    <w:rsid w:val="00CB01B2"/>
    <w:rsid w:val="00CD683A"/>
    <w:rsid w:val="00D617D2"/>
    <w:rsid w:val="00DA272F"/>
    <w:rsid w:val="00DA7791"/>
    <w:rsid w:val="00E222D5"/>
    <w:rsid w:val="00E23369"/>
    <w:rsid w:val="00E349A2"/>
    <w:rsid w:val="00E915B6"/>
    <w:rsid w:val="00EB0F05"/>
    <w:rsid w:val="00EB57D3"/>
    <w:rsid w:val="00EE163B"/>
    <w:rsid w:val="00EE76DB"/>
    <w:rsid w:val="00F126C1"/>
    <w:rsid w:val="00F1481F"/>
    <w:rsid w:val="00F22FE4"/>
    <w:rsid w:val="00F35809"/>
    <w:rsid w:val="00F4326E"/>
    <w:rsid w:val="00F61206"/>
    <w:rsid w:val="00F63C16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A54E-E6E4-4F77-AF49-C77C86D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5</cp:revision>
  <cp:lastPrinted>2016-08-08T13:17:00Z</cp:lastPrinted>
  <dcterms:created xsi:type="dcterms:W3CDTF">2016-08-12T12:36:00Z</dcterms:created>
  <dcterms:modified xsi:type="dcterms:W3CDTF">2016-08-12T13:01:00Z</dcterms:modified>
</cp:coreProperties>
</file>